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93" w:rsidRDefault="00103C80">
      <w:pPr>
        <w:pStyle w:val="FootnoteText"/>
        <w:widowControl/>
        <w:rPr>
          <w:noProof/>
          <w:sz w:val="24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02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343" y="21054"/>
                <wp:lineTo x="21343" y="0"/>
                <wp:lineTo x="0" y="0"/>
              </wp:wrapPolygon>
            </wp:wrapTight>
            <wp:docPr id="7" name="Picture 7" descr="NEW Workforce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WorkforceN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93" w:rsidRDefault="00781B93">
      <w:pPr>
        <w:widowControl/>
        <w:spacing w:line="259" w:lineRule="exact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781B93" w:rsidRDefault="00781B93">
      <w:pPr>
        <w:widowControl/>
        <w:spacing w:line="259" w:lineRule="exact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781B93" w:rsidRDefault="00781B93">
      <w:pPr>
        <w:widowControl/>
        <w:spacing w:line="259" w:lineRule="exact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021725" w:rsidRPr="00021725" w:rsidRDefault="00021725" w:rsidP="00021725">
      <w:pPr>
        <w:jc w:val="center"/>
        <w:rPr>
          <w:rFonts w:ascii="Times New (W1)" w:hAnsi="Times New (W1)"/>
          <w:b/>
          <w:color w:val="000000"/>
          <w:sz w:val="24"/>
          <w:szCs w:val="24"/>
        </w:rPr>
      </w:pPr>
      <w:r w:rsidRPr="00021725">
        <w:rPr>
          <w:rFonts w:ascii="Times New (W1)" w:hAnsi="Times New (W1)"/>
          <w:b/>
          <w:color w:val="000000"/>
          <w:sz w:val="24"/>
          <w:szCs w:val="24"/>
        </w:rPr>
        <w:t xml:space="preserve">CATTARAUGUS-ALLEGANY WORKFORCE </w:t>
      </w:r>
      <w:r w:rsidR="001C79E9">
        <w:rPr>
          <w:rFonts w:ascii="Times New (W1)" w:hAnsi="Times New (W1)"/>
          <w:b/>
          <w:color w:val="000000"/>
          <w:sz w:val="24"/>
          <w:szCs w:val="24"/>
        </w:rPr>
        <w:t xml:space="preserve">DEVELOPMENT </w:t>
      </w:r>
      <w:r w:rsidRPr="00021725">
        <w:rPr>
          <w:rFonts w:ascii="Times New (W1)" w:hAnsi="Times New (W1)"/>
          <w:b/>
          <w:color w:val="000000"/>
          <w:sz w:val="24"/>
          <w:szCs w:val="24"/>
        </w:rPr>
        <w:t>BOARD</w:t>
      </w:r>
    </w:p>
    <w:p w:rsidR="00021725" w:rsidRPr="00021725" w:rsidRDefault="00021725" w:rsidP="00021725">
      <w:pPr>
        <w:jc w:val="center"/>
        <w:rPr>
          <w:rFonts w:ascii="Times New (W1)" w:hAnsi="Times New (W1)"/>
          <w:b/>
          <w:color w:val="000000"/>
          <w:sz w:val="24"/>
          <w:szCs w:val="24"/>
        </w:rPr>
      </w:pPr>
    </w:p>
    <w:p w:rsidR="00021725" w:rsidRPr="00021725" w:rsidRDefault="00021725" w:rsidP="00021725">
      <w:pPr>
        <w:jc w:val="center"/>
        <w:rPr>
          <w:rFonts w:ascii="Times New (W1)" w:hAnsi="Times New (W1)"/>
          <w:b/>
          <w:color w:val="000000"/>
          <w:sz w:val="24"/>
          <w:szCs w:val="24"/>
        </w:rPr>
      </w:pPr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  <w:r w:rsidRPr="00021725">
        <w:rPr>
          <w:rFonts w:ascii="Times New (W1)" w:hAnsi="Times New (W1)"/>
          <w:b/>
          <w:color w:val="000000"/>
          <w:sz w:val="24"/>
          <w:szCs w:val="24"/>
        </w:rPr>
        <w:t>TO:</w:t>
      </w:r>
      <w:r w:rsidRPr="00021725">
        <w:rPr>
          <w:rFonts w:ascii="Times New (W1)" w:hAnsi="Times New (W1)"/>
          <w:color w:val="000000"/>
          <w:sz w:val="24"/>
          <w:szCs w:val="24"/>
        </w:rPr>
        <w:tab/>
      </w:r>
      <w:r w:rsidRPr="00021725">
        <w:rPr>
          <w:rFonts w:ascii="Times New (W1)" w:hAnsi="Times New (W1)"/>
          <w:color w:val="000000"/>
          <w:sz w:val="24"/>
          <w:szCs w:val="24"/>
        </w:rPr>
        <w:tab/>
      </w:r>
      <w:r w:rsidRPr="00021725">
        <w:rPr>
          <w:rFonts w:ascii="Times New (W1)" w:hAnsi="Times New (W1)"/>
          <w:color w:val="000000"/>
          <w:sz w:val="24"/>
          <w:szCs w:val="24"/>
        </w:rPr>
        <w:tab/>
      </w:r>
      <w:r w:rsidRPr="00021725">
        <w:rPr>
          <w:rFonts w:ascii="Times New (W1)" w:hAnsi="Times New (W1)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021725">
            <w:rPr>
              <w:rFonts w:ascii="Times New (W1)" w:hAnsi="Times New (W1)"/>
              <w:b/>
              <w:color w:val="000000"/>
              <w:sz w:val="24"/>
              <w:szCs w:val="24"/>
            </w:rPr>
            <w:t>All</w:t>
          </w:r>
        </w:smartTag>
        <w:r w:rsidRPr="00021725">
          <w:rPr>
            <w:rFonts w:ascii="Times New (W1)" w:hAnsi="Times New (W1)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021725">
            <w:rPr>
              <w:rFonts w:ascii="Times New (W1)" w:hAnsi="Times New (W1)"/>
              <w:b/>
              <w:color w:val="000000"/>
              <w:sz w:val="24"/>
              <w:szCs w:val="24"/>
            </w:rPr>
            <w:t>One-Stop</w:t>
          </w:r>
        </w:smartTag>
        <w:r w:rsidRPr="00021725">
          <w:rPr>
            <w:rFonts w:ascii="Times New (W1)" w:hAnsi="Times New (W1)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021725">
            <w:rPr>
              <w:rFonts w:ascii="Times New (W1)" w:hAnsi="Times New (W1)"/>
              <w:b/>
              <w:color w:val="000000"/>
              <w:sz w:val="24"/>
              <w:szCs w:val="24"/>
            </w:rPr>
            <w:t>Career</w:t>
          </w:r>
        </w:smartTag>
        <w:r w:rsidRPr="00021725">
          <w:rPr>
            <w:rFonts w:ascii="Times New (W1)" w:hAnsi="Times New (W1)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021725">
            <w:rPr>
              <w:rFonts w:ascii="Times New (W1)" w:hAnsi="Times New (W1)"/>
              <w:b/>
              <w:color w:val="000000"/>
              <w:sz w:val="24"/>
              <w:szCs w:val="24"/>
            </w:rPr>
            <w:t>Center</w:t>
          </w:r>
        </w:smartTag>
      </w:smartTag>
      <w:r w:rsidRPr="00021725">
        <w:rPr>
          <w:rFonts w:ascii="Times New (W1)" w:hAnsi="Times New (W1)"/>
          <w:b/>
          <w:color w:val="000000"/>
          <w:sz w:val="24"/>
          <w:szCs w:val="24"/>
        </w:rPr>
        <w:t xml:space="preserve"> Staff and Providers</w:t>
      </w:r>
      <w:bookmarkStart w:id="0" w:name="_GoBack"/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</w:p>
    <w:bookmarkEnd w:id="0"/>
    <w:p w:rsidR="00021725" w:rsidRPr="00021725" w:rsidRDefault="00021725" w:rsidP="00021725">
      <w:pPr>
        <w:ind w:left="2880" w:hanging="2880"/>
        <w:rPr>
          <w:rFonts w:ascii="Times New (W1)" w:hAnsi="Times New (W1)"/>
          <w:color w:val="000000"/>
          <w:sz w:val="24"/>
          <w:szCs w:val="24"/>
        </w:rPr>
      </w:pPr>
      <w:r w:rsidRPr="00021725">
        <w:rPr>
          <w:rFonts w:ascii="Times New (W1)" w:hAnsi="Times New (W1)"/>
          <w:b/>
          <w:color w:val="000000"/>
          <w:sz w:val="24"/>
          <w:szCs w:val="24"/>
        </w:rPr>
        <w:t>SUBJECT:</w:t>
      </w:r>
      <w:r w:rsidRPr="00021725">
        <w:rPr>
          <w:rFonts w:ascii="Times New (W1)" w:hAnsi="Times New (W1)"/>
          <w:color w:val="000000"/>
          <w:sz w:val="24"/>
          <w:szCs w:val="24"/>
        </w:rPr>
        <w:tab/>
      </w:r>
      <w:r>
        <w:rPr>
          <w:rFonts w:ascii="Times New (W1)" w:hAnsi="Times New (W1)"/>
          <w:color w:val="000000"/>
          <w:sz w:val="24"/>
          <w:szCs w:val="24"/>
        </w:rPr>
        <w:t>Supportive Services</w:t>
      </w:r>
      <w:r w:rsidR="0095682D">
        <w:rPr>
          <w:rFonts w:ascii="Times New (W1)" w:hAnsi="Times New (W1)"/>
          <w:color w:val="000000"/>
          <w:sz w:val="24"/>
          <w:szCs w:val="24"/>
        </w:rPr>
        <w:t xml:space="preserve"> Policy</w:t>
      </w:r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  <w:r w:rsidRPr="00021725">
        <w:rPr>
          <w:rFonts w:ascii="Times New (W1)" w:hAnsi="Times New (W1)"/>
          <w:b/>
          <w:color w:val="000000"/>
          <w:sz w:val="24"/>
          <w:szCs w:val="24"/>
        </w:rPr>
        <w:t>ISSUANCE DATE:</w:t>
      </w:r>
      <w:r w:rsidRPr="00021725">
        <w:rPr>
          <w:rFonts w:ascii="Times New (W1)" w:hAnsi="Times New (W1)"/>
          <w:b/>
          <w:color w:val="000000"/>
          <w:sz w:val="24"/>
          <w:szCs w:val="24"/>
        </w:rPr>
        <w:tab/>
      </w:r>
      <w:r w:rsidRPr="00021725">
        <w:rPr>
          <w:rFonts w:ascii="Times New (W1)" w:hAnsi="Times New (W1)"/>
          <w:color w:val="000000"/>
          <w:sz w:val="24"/>
          <w:szCs w:val="24"/>
        </w:rPr>
        <w:tab/>
        <w:t>June 19, 2009</w:t>
      </w:r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  <w:r w:rsidRPr="00021725">
        <w:rPr>
          <w:rFonts w:ascii="Times New (W1)" w:hAnsi="Times New (W1)"/>
          <w:b/>
          <w:color w:val="000000"/>
          <w:sz w:val="24"/>
          <w:szCs w:val="24"/>
        </w:rPr>
        <w:t>EFFECTIVE DATE:</w:t>
      </w:r>
      <w:r w:rsidRPr="00021725">
        <w:rPr>
          <w:rFonts w:ascii="Times New (W1)" w:hAnsi="Times New (W1)"/>
          <w:color w:val="000000"/>
          <w:sz w:val="24"/>
          <w:szCs w:val="24"/>
        </w:rPr>
        <w:tab/>
      </w:r>
      <w:r w:rsidR="00C60917">
        <w:rPr>
          <w:rFonts w:ascii="Times New (W1)" w:hAnsi="Times New (W1)"/>
          <w:color w:val="000000"/>
          <w:sz w:val="24"/>
          <w:szCs w:val="24"/>
        </w:rPr>
        <w:t>February 1, 2010</w:t>
      </w:r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</w:p>
    <w:p w:rsidR="00021725" w:rsidRPr="00021725" w:rsidRDefault="00021725" w:rsidP="00021725">
      <w:pPr>
        <w:rPr>
          <w:rFonts w:ascii="Times New (W1)" w:hAnsi="Times New (W1)"/>
          <w:color w:val="000000"/>
          <w:sz w:val="24"/>
          <w:szCs w:val="24"/>
        </w:rPr>
      </w:pPr>
      <w:r w:rsidRPr="00021725">
        <w:rPr>
          <w:rFonts w:ascii="Times New (W1)" w:hAnsi="Times New (W1)"/>
          <w:b/>
          <w:color w:val="000000"/>
          <w:sz w:val="24"/>
          <w:szCs w:val="24"/>
        </w:rPr>
        <w:t>EXPIRATION DATE</w:t>
      </w:r>
      <w:r w:rsidRPr="00021725">
        <w:rPr>
          <w:rFonts w:ascii="Times New (W1)" w:hAnsi="Times New (W1)"/>
          <w:color w:val="000000"/>
          <w:sz w:val="24"/>
          <w:szCs w:val="24"/>
        </w:rPr>
        <w:t>:</w:t>
      </w:r>
      <w:r w:rsidRPr="00021725">
        <w:rPr>
          <w:rFonts w:ascii="Times New (W1)" w:hAnsi="Times New (W1)"/>
          <w:color w:val="000000"/>
          <w:sz w:val="24"/>
          <w:szCs w:val="24"/>
        </w:rPr>
        <w:tab/>
        <w:t>None</w:t>
      </w:r>
    </w:p>
    <w:p w:rsidR="00021725" w:rsidRPr="00021725" w:rsidRDefault="00021725" w:rsidP="00021725">
      <w:pPr>
        <w:spacing w:after="120"/>
        <w:rPr>
          <w:rFonts w:ascii="Times New (W1)" w:hAnsi="Times New (W1)"/>
          <w:color w:val="000000"/>
          <w:sz w:val="24"/>
          <w:szCs w:val="24"/>
        </w:rPr>
      </w:pPr>
      <w:r w:rsidRPr="00021725">
        <w:rPr>
          <w:rFonts w:ascii="Times New (W1)" w:hAnsi="Times New (W1)"/>
          <w:color w:val="000000"/>
          <w:sz w:val="24"/>
          <w:szCs w:val="24"/>
        </w:rPr>
        <w:t>______________________________________________________________________________</w:t>
      </w:r>
    </w:p>
    <w:p w:rsidR="00781B93" w:rsidRDefault="00781B93">
      <w:pPr>
        <w:widowControl/>
        <w:spacing w:line="259" w:lineRule="exact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7000FD" w:rsidRPr="007000FD" w:rsidRDefault="007000FD" w:rsidP="007000FD">
      <w:pPr>
        <w:widowControl/>
        <w:ind w:left="72"/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Priority of Service</w:t>
      </w:r>
    </w:p>
    <w:p w:rsidR="007000FD" w:rsidRDefault="009C6945" w:rsidP="007000FD">
      <w:pPr>
        <w:widowControl/>
        <w:ind w:left="72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The </w:t>
      </w:r>
      <w:r w:rsidR="007000FD">
        <w:rPr>
          <w:rFonts w:ascii="Times New Roman" w:hAnsi="Times New Roman" w:cs="Times New Roman"/>
          <w:sz w:val="24"/>
          <w:szCs w:val="22"/>
        </w:rPr>
        <w:t>W</w:t>
      </w:r>
      <w:r w:rsidR="001C79E9">
        <w:rPr>
          <w:rFonts w:ascii="Times New Roman" w:hAnsi="Times New Roman" w:cs="Times New Roman"/>
          <w:sz w:val="24"/>
          <w:szCs w:val="22"/>
        </w:rPr>
        <w:t xml:space="preserve">orkforce Development </w:t>
      </w:r>
      <w:r w:rsidR="007000FD">
        <w:rPr>
          <w:rFonts w:ascii="Times New Roman" w:hAnsi="Times New Roman" w:cs="Times New Roman"/>
          <w:sz w:val="24"/>
          <w:szCs w:val="22"/>
        </w:rPr>
        <w:t>B</w:t>
      </w:r>
      <w:r w:rsidR="001C79E9">
        <w:rPr>
          <w:rFonts w:ascii="Times New Roman" w:hAnsi="Times New Roman" w:cs="Times New Roman"/>
          <w:sz w:val="24"/>
          <w:szCs w:val="22"/>
        </w:rPr>
        <w:t>oard (WDB)</w:t>
      </w:r>
      <w:r w:rsidR="007000FD">
        <w:rPr>
          <w:rFonts w:ascii="Times New Roman" w:hAnsi="Times New Roman" w:cs="Times New Roman"/>
          <w:sz w:val="24"/>
          <w:szCs w:val="22"/>
        </w:rPr>
        <w:t xml:space="preserve"> has determined that</w:t>
      </w:r>
      <w:r>
        <w:rPr>
          <w:rFonts w:ascii="Times New Roman" w:hAnsi="Times New Roman" w:cs="Times New Roman"/>
          <w:sz w:val="24"/>
          <w:szCs w:val="22"/>
        </w:rPr>
        <w:t xml:space="preserve"> the local Priority of Service for</w:t>
      </w:r>
      <w:r w:rsidR="007000FD">
        <w:rPr>
          <w:rFonts w:ascii="Times New Roman" w:hAnsi="Times New Roman" w:cs="Times New Roman"/>
          <w:sz w:val="24"/>
          <w:szCs w:val="22"/>
        </w:rPr>
        <w:t xml:space="preserve"> those in need of and eligible for </w:t>
      </w:r>
      <w:r w:rsidR="00A76D21">
        <w:rPr>
          <w:rFonts w:ascii="Times New Roman" w:hAnsi="Times New Roman" w:cs="Times New Roman"/>
          <w:sz w:val="24"/>
          <w:szCs w:val="22"/>
        </w:rPr>
        <w:t>Supportive Services</w:t>
      </w:r>
      <w:r w:rsidR="00095413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include </w:t>
      </w:r>
      <w:r w:rsidR="007000FD">
        <w:rPr>
          <w:rFonts w:ascii="Times New Roman" w:hAnsi="Times New Roman" w:cs="Times New Roman"/>
          <w:sz w:val="24"/>
          <w:szCs w:val="22"/>
        </w:rPr>
        <w:t>the following target groups</w:t>
      </w:r>
      <w:r>
        <w:rPr>
          <w:rFonts w:ascii="Times New Roman" w:hAnsi="Times New Roman" w:cs="Times New Roman"/>
          <w:sz w:val="24"/>
          <w:szCs w:val="22"/>
        </w:rPr>
        <w:t xml:space="preserve"> that </w:t>
      </w:r>
      <w:r w:rsidR="007000FD">
        <w:rPr>
          <w:rFonts w:ascii="Times New Roman" w:hAnsi="Times New Roman" w:cs="Times New Roman"/>
          <w:sz w:val="24"/>
          <w:szCs w:val="22"/>
        </w:rPr>
        <w:t>will receive priority:</w:t>
      </w:r>
    </w:p>
    <w:p w:rsidR="007000FD" w:rsidRDefault="007000FD" w:rsidP="007966B8">
      <w:pPr>
        <w:widowControl/>
        <w:ind w:firstLine="504"/>
        <w:rPr>
          <w:rFonts w:ascii="Times New Roman" w:hAnsi="Times New Roman" w:cs="Times New Roman"/>
          <w:sz w:val="24"/>
          <w:szCs w:val="22"/>
        </w:rPr>
      </w:pPr>
    </w:p>
    <w:p w:rsidR="006E74EF" w:rsidRDefault="006E74EF" w:rsidP="006E74EF">
      <w:pPr>
        <w:widowControl/>
        <w:numPr>
          <w:ilvl w:val="0"/>
          <w:numId w:val="3"/>
        </w:numPr>
        <w:tabs>
          <w:tab w:val="clear" w:pos="1354"/>
          <w:tab w:val="num" w:pos="900"/>
        </w:tabs>
        <w:ind w:left="1353" w:hanging="80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Veterans</w:t>
      </w:r>
    </w:p>
    <w:p w:rsidR="00F602FE" w:rsidRPr="007F5B93" w:rsidRDefault="00F602FE" w:rsidP="00F602FE">
      <w:pPr>
        <w:widowControl/>
        <w:numPr>
          <w:ilvl w:val="0"/>
          <w:numId w:val="3"/>
        </w:numPr>
        <w:tabs>
          <w:tab w:val="clear" w:pos="1354"/>
          <w:tab w:val="num" w:pos="900"/>
        </w:tabs>
        <w:ind w:left="1353" w:hanging="806"/>
        <w:rPr>
          <w:rFonts w:ascii="Times New Roman" w:hAnsi="Times New Roman" w:cs="Times New Roman"/>
          <w:color w:val="000000"/>
          <w:sz w:val="24"/>
          <w:szCs w:val="22"/>
        </w:rPr>
      </w:pPr>
      <w:r w:rsidRPr="007F5B93">
        <w:rPr>
          <w:rFonts w:ascii="Times New Roman" w:hAnsi="Times New Roman" w:cs="Times New Roman"/>
          <w:color w:val="000000"/>
          <w:sz w:val="24"/>
          <w:szCs w:val="22"/>
        </w:rPr>
        <w:t>Eligible spouses of veterans (per local Priority of Service Policy for Veterans)</w:t>
      </w:r>
    </w:p>
    <w:p w:rsidR="007000FD" w:rsidRDefault="007000FD" w:rsidP="00F602FE">
      <w:pPr>
        <w:widowControl/>
        <w:numPr>
          <w:ilvl w:val="0"/>
          <w:numId w:val="3"/>
        </w:numPr>
        <w:tabs>
          <w:tab w:val="clear" w:pos="1354"/>
          <w:tab w:val="num" w:pos="900"/>
        </w:tabs>
        <w:ind w:left="1353" w:hanging="80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Economically disadvantaged individuals</w:t>
      </w:r>
    </w:p>
    <w:p w:rsidR="007000FD" w:rsidRDefault="007000FD" w:rsidP="00F602FE">
      <w:pPr>
        <w:widowControl/>
        <w:numPr>
          <w:ilvl w:val="0"/>
          <w:numId w:val="3"/>
        </w:numPr>
        <w:tabs>
          <w:tab w:val="clear" w:pos="1354"/>
          <w:tab w:val="num" w:pos="900"/>
        </w:tabs>
        <w:ind w:left="1353" w:hanging="80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Adult recipients of public assistance</w:t>
      </w:r>
    </w:p>
    <w:p w:rsidR="007000FD" w:rsidRDefault="007000FD" w:rsidP="007966B8">
      <w:pPr>
        <w:widowControl/>
        <w:numPr>
          <w:ilvl w:val="0"/>
          <w:numId w:val="3"/>
        </w:numPr>
        <w:tabs>
          <w:tab w:val="clear" w:pos="1354"/>
          <w:tab w:val="num" w:pos="900"/>
        </w:tabs>
        <w:ind w:left="1353" w:hanging="80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Dislocated </w:t>
      </w:r>
      <w:r w:rsidR="00A21E46">
        <w:rPr>
          <w:rFonts w:ascii="Times New Roman" w:hAnsi="Times New Roman" w:cs="Times New Roman"/>
          <w:sz w:val="24"/>
          <w:szCs w:val="22"/>
        </w:rPr>
        <w:t>W</w:t>
      </w:r>
      <w:r>
        <w:rPr>
          <w:rFonts w:ascii="Times New Roman" w:hAnsi="Times New Roman" w:cs="Times New Roman"/>
          <w:sz w:val="24"/>
          <w:szCs w:val="22"/>
        </w:rPr>
        <w:t>orkers</w:t>
      </w:r>
    </w:p>
    <w:p w:rsidR="007000FD" w:rsidRDefault="007000FD" w:rsidP="007966B8">
      <w:pPr>
        <w:widowControl/>
        <w:numPr>
          <w:ilvl w:val="0"/>
          <w:numId w:val="3"/>
        </w:numPr>
        <w:tabs>
          <w:tab w:val="clear" w:pos="1354"/>
          <w:tab w:val="num" w:pos="900"/>
        </w:tabs>
        <w:ind w:left="1353" w:hanging="80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Youth ages 14-21 who are low income</w:t>
      </w:r>
    </w:p>
    <w:p w:rsidR="007000FD" w:rsidRDefault="007000FD" w:rsidP="007966B8">
      <w:pPr>
        <w:widowControl/>
        <w:numPr>
          <w:ilvl w:val="0"/>
          <w:numId w:val="4"/>
        </w:numPr>
        <w:ind w:left="836" w:hanging="29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Unemployed individuals who lack significant work history</w:t>
      </w:r>
    </w:p>
    <w:p w:rsidR="007000FD" w:rsidRDefault="007000FD" w:rsidP="007966B8">
      <w:pPr>
        <w:widowControl/>
        <w:numPr>
          <w:ilvl w:val="0"/>
          <w:numId w:val="4"/>
        </w:numPr>
        <w:ind w:left="836" w:hanging="29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Employed individuals in jobs that do not afford economic self-sufficiency</w:t>
      </w:r>
    </w:p>
    <w:p w:rsidR="00A21E46" w:rsidRPr="0041424E" w:rsidRDefault="00A21E46" w:rsidP="007966B8">
      <w:pPr>
        <w:widowControl/>
        <w:numPr>
          <w:ilvl w:val="0"/>
          <w:numId w:val="4"/>
        </w:numPr>
        <w:ind w:left="836" w:hanging="296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41424E">
        <w:rPr>
          <w:rFonts w:ascii="Times New Roman" w:hAnsi="Times New Roman" w:cs="Times New Roman"/>
          <w:color w:val="000000" w:themeColor="text1"/>
          <w:sz w:val="24"/>
          <w:szCs w:val="22"/>
        </w:rPr>
        <w:t>Adults that are Basic Skills Deficient</w:t>
      </w:r>
    </w:p>
    <w:p w:rsidR="007966B8" w:rsidRDefault="007966B8" w:rsidP="007966B8">
      <w:pPr>
        <w:widowControl/>
        <w:ind w:left="540"/>
        <w:rPr>
          <w:rFonts w:ascii="Times New Roman" w:hAnsi="Times New Roman" w:cs="Times New Roman"/>
          <w:sz w:val="24"/>
          <w:szCs w:val="22"/>
        </w:rPr>
      </w:pPr>
    </w:p>
    <w:p w:rsidR="007F2D55" w:rsidRDefault="007F2D55" w:rsidP="007F2D55">
      <w:pPr>
        <w:widowControl/>
        <w:spacing w:after="1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The </w:t>
      </w:r>
      <w:r w:rsidR="00A21E46">
        <w:rPr>
          <w:rFonts w:ascii="Times New Roman" w:hAnsi="Times New Roman" w:cs="Times New Roman"/>
          <w:sz w:val="24"/>
          <w:szCs w:val="22"/>
        </w:rPr>
        <w:t>WD</w:t>
      </w:r>
      <w:r>
        <w:rPr>
          <w:rFonts w:ascii="Times New Roman" w:hAnsi="Times New Roman" w:cs="Times New Roman"/>
          <w:sz w:val="24"/>
          <w:szCs w:val="22"/>
        </w:rPr>
        <w:t>B retains the right to suspend this policy and not provide Supportive Services in whole or in part if funding is determined to be limited locally.</w:t>
      </w:r>
    </w:p>
    <w:p w:rsidR="007000FD" w:rsidRDefault="007000FD" w:rsidP="007000FD">
      <w:pPr>
        <w:pStyle w:val="BodyText2"/>
        <w:widowControl/>
        <w:rPr>
          <w:szCs w:val="22"/>
        </w:rPr>
      </w:pPr>
      <w:r>
        <w:rPr>
          <w:szCs w:val="22"/>
          <w:u w:val="single"/>
        </w:rPr>
        <w:t>Eligibility</w:t>
      </w:r>
    </w:p>
    <w:p w:rsidR="007000FD" w:rsidRDefault="007000FD" w:rsidP="007000FD">
      <w:pPr>
        <w:pStyle w:val="BodyText"/>
        <w:spacing w:before="0" w:line="240" w:lineRule="auto"/>
      </w:pPr>
      <w:r>
        <w:t>By a combination</w:t>
      </w:r>
      <w:r w:rsidR="00526837">
        <w:t xml:space="preserve"> of </w:t>
      </w:r>
      <w:r>
        <w:t>WI</w:t>
      </w:r>
      <w:r w:rsidR="001C79E9">
        <w:t>O</w:t>
      </w:r>
      <w:r>
        <w:t xml:space="preserve">A </w:t>
      </w:r>
      <w:r w:rsidR="009C6945">
        <w:t>regulations</w:t>
      </w:r>
      <w:r w:rsidR="00B17615">
        <w:t xml:space="preserve"> </w:t>
      </w:r>
      <w:r w:rsidR="00B17615" w:rsidRPr="0041424E">
        <w:rPr>
          <w:color w:val="000000" w:themeColor="text1"/>
        </w:rPr>
        <w:t>680.910(a)</w:t>
      </w:r>
      <w:r w:rsidR="009C6945" w:rsidRPr="0041424E">
        <w:rPr>
          <w:color w:val="000000" w:themeColor="text1"/>
        </w:rPr>
        <w:t xml:space="preserve"> </w:t>
      </w:r>
      <w:r>
        <w:t xml:space="preserve">and local </w:t>
      </w:r>
      <w:r w:rsidR="009C6945">
        <w:t>W</w:t>
      </w:r>
      <w:r w:rsidR="001C79E9">
        <w:t>D</w:t>
      </w:r>
      <w:r w:rsidR="009C6945">
        <w:t xml:space="preserve">B </w:t>
      </w:r>
      <w:r>
        <w:t xml:space="preserve">definitions, </w:t>
      </w:r>
      <w:r w:rsidR="00A76D21">
        <w:t>Supportive Services</w:t>
      </w:r>
      <w:r w:rsidR="00B17615">
        <w:t xml:space="preserve"> </w:t>
      </w:r>
      <w:r w:rsidR="00B17615" w:rsidRPr="0041424E">
        <w:rPr>
          <w:color w:val="000000" w:themeColor="text1"/>
        </w:rPr>
        <w:t>may only be provided to individuals</w:t>
      </w:r>
      <w:r w:rsidR="00526837" w:rsidRPr="0041424E">
        <w:rPr>
          <w:color w:val="000000" w:themeColor="text1"/>
        </w:rPr>
        <w:t xml:space="preserve"> </w:t>
      </w:r>
      <w:r>
        <w:t>who:</w:t>
      </w:r>
    </w:p>
    <w:p w:rsidR="007000FD" w:rsidRDefault="007000FD" w:rsidP="007000FD">
      <w:pPr>
        <w:widowControl/>
        <w:rPr>
          <w:rFonts w:ascii="Times New Roman" w:hAnsi="Times New Roman" w:cs="Times New Roman"/>
          <w:sz w:val="24"/>
          <w:szCs w:val="22"/>
        </w:rPr>
      </w:pPr>
    </w:p>
    <w:p w:rsidR="007000FD" w:rsidRDefault="00B17615" w:rsidP="007000FD">
      <w:pPr>
        <w:widowControl/>
        <w:numPr>
          <w:ilvl w:val="0"/>
          <w:numId w:val="2"/>
        </w:numPr>
        <w:spacing w:after="120"/>
        <w:ind w:left="836" w:hanging="34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Are</w:t>
      </w:r>
      <w:r w:rsidR="000F0B6C">
        <w:rPr>
          <w:rFonts w:ascii="Times New Roman" w:hAnsi="Times New Roman" w:cs="Times New Roman"/>
          <w:sz w:val="24"/>
          <w:szCs w:val="22"/>
        </w:rPr>
        <w:t xml:space="preserve"> participating </w:t>
      </w:r>
      <w:r w:rsidR="000F0B6C" w:rsidRPr="0041424E">
        <w:rPr>
          <w:rFonts w:ascii="Times New Roman" w:hAnsi="Times New Roman" w:cs="Times New Roman"/>
          <w:color w:val="000000" w:themeColor="text1"/>
          <w:sz w:val="24"/>
          <w:szCs w:val="22"/>
        </w:rPr>
        <w:t>in career or training services</w:t>
      </w:r>
      <w:r w:rsidR="007F2D55" w:rsidRPr="0041424E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</w:t>
      </w:r>
      <w:r w:rsidR="007F2D55">
        <w:rPr>
          <w:rFonts w:ascii="Times New Roman" w:hAnsi="Times New Roman" w:cs="Times New Roman"/>
          <w:sz w:val="24"/>
          <w:szCs w:val="22"/>
        </w:rPr>
        <w:t>through either an ITA or OJT</w:t>
      </w:r>
      <w:r w:rsidR="000F0B6C">
        <w:rPr>
          <w:rFonts w:ascii="Times New Roman" w:hAnsi="Times New Roman" w:cs="Times New Roman"/>
          <w:sz w:val="24"/>
          <w:szCs w:val="22"/>
        </w:rPr>
        <w:t xml:space="preserve"> </w:t>
      </w:r>
      <w:r w:rsidR="000F0B6C" w:rsidRPr="0041424E">
        <w:rPr>
          <w:rFonts w:ascii="Times New Roman" w:hAnsi="Times New Roman" w:cs="Times New Roman"/>
          <w:color w:val="000000" w:themeColor="text1"/>
          <w:sz w:val="24"/>
          <w:szCs w:val="22"/>
        </w:rPr>
        <w:t>as defined in WIOA secs 134(c) (2) and (3)</w:t>
      </w:r>
      <w:r w:rsidR="007F2D55" w:rsidRPr="0041424E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</w:t>
      </w:r>
      <w:r w:rsidR="007F2D55">
        <w:rPr>
          <w:rFonts w:ascii="Times New Roman" w:hAnsi="Times New Roman" w:cs="Times New Roman"/>
          <w:sz w:val="24"/>
          <w:szCs w:val="22"/>
        </w:rPr>
        <w:t>whether or not the training is WI</w:t>
      </w:r>
      <w:r w:rsidR="001C79E9">
        <w:rPr>
          <w:rFonts w:ascii="Times New Roman" w:hAnsi="Times New Roman" w:cs="Times New Roman"/>
          <w:sz w:val="24"/>
          <w:szCs w:val="22"/>
        </w:rPr>
        <w:t>O</w:t>
      </w:r>
      <w:r w:rsidR="007F2D55">
        <w:rPr>
          <w:rFonts w:ascii="Times New Roman" w:hAnsi="Times New Roman" w:cs="Times New Roman"/>
          <w:sz w:val="24"/>
          <w:szCs w:val="22"/>
        </w:rPr>
        <w:t>A-funded.</w:t>
      </w:r>
    </w:p>
    <w:p w:rsidR="00526837" w:rsidRPr="0041424E" w:rsidRDefault="000F0B6C" w:rsidP="007000FD">
      <w:pPr>
        <w:widowControl/>
        <w:numPr>
          <w:ilvl w:val="0"/>
          <w:numId w:val="2"/>
        </w:numPr>
        <w:spacing w:after="120"/>
        <w:ind w:left="836" w:hanging="346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41424E">
        <w:rPr>
          <w:rFonts w:ascii="Times New Roman" w:hAnsi="Times New Roman" w:cs="Times New Roman"/>
          <w:color w:val="000000" w:themeColor="text1"/>
          <w:sz w:val="24"/>
          <w:szCs w:val="22"/>
        </w:rPr>
        <w:t>Are unable to obtain supportive services through other programs providing such services.</w:t>
      </w:r>
    </w:p>
    <w:p w:rsidR="000F0B6C" w:rsidRPr="0041424E" w:rsidRDefault="000F0B6C" w:rsidP="007000FD">
      <w:pPr>
        <w:widowControl/>
        <w:numPr>
          <w:ilvl w:val="0"/>
          <w:numId w:val="2"/>
        </w:numPr>
        <w:spacing w:after="120"/>
        <w:ind w:left="836" w:hanging="346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41424E">
        <w:rPr>
          <w:rFonts w:ascii="Times New Roman" w:hAnsi="Times New Roman" w:cs="Times New Roman"/>
          <w:color w:val="000000" w:themeColor="text1"/>
          <w:sz w:val="24"/>
          <w:szCs w:val="22"/>
        </w:rPr>
        <w:lastRenderedPageBreak/>
        <w:t>Supportive services may only be provided when they are necessary to enable individuals to participate in career service or training activities.</w:t>
      </w:r>
    </w:p>
    <w:p w:rsidR="000F0B6C" w:rsidRDefault="000F0B6C" w:rsidP="000F0B6C">
      <w:pPr>
        <w:widowControl/>
        <w:spacing w:after="120"/>
        <w:rPr>
          <w:rFonts w:ascii="Times New Roman" w:hAnsi="Times New Roman" w:cs="Times New Roman"/>
          <w:sz w:val="24"/>
          <w:szCs w:val="22"/>
        </w:rPr>
      </w:pPr>
    </w:p>
    <w:p w:rsidR="00095413" w:rsidRDefault="007F2D55" w:rsidP="00095413">
      <w:pPr>
        <w:pStyle w:val="BodyText3"/>
      </w:pPr>
      <w:r>
        <w:rPr>
          <w:b/>
          <w:u w:val="single"/>
        </w:rPr>
        <w:t>Types of Supportive Services</w:t>
      </w:r>
    </w:p>
    <w:p w:rsidR="007F2D55" w:rsidRDefault="00FD6881" w:rsidP="00095413">
      <w:pPr>
        <w:pStyle w:val="BodyText3"/>
      </w:pPr>
      <w:r>
        <w:t>An individual may or may not receive the below supportive services based upon eligibility and availability of funds:</w:t>
      </w:r>
    </w:p>
    <w:p w:rsidR="00083583" w:rsidRDefault="00833B65" w:rsidP="00737E85">
      <w:pPr>
        <w:pStyle w:val="BodyText3"/>
        <w:numPr>
          <w:ilvl w:val="0"/>
          <w:numId w:val="11"/>
        </w:numPr>
      </w:pPr>
      <w:r>
        <w:t>Transportation assistance</w:t>
      </w:r>
      <w:r w:rsidR="00083583">
        <w:t xml:space="preserve"> –</w:t>
      </w:r>
      <w:r w:rsidR="001C79E9">
        <w:t>T</w:t>
      </w:r>
      <w:r w:rsidR="00083583">
        <w:t>he mileage reimbursement is set at the current federal IRS rate</w:t>
      </w:r>
      <w:r w:rsidR="00C43932">
        <w:t>, which is subject to change.</w:t>
      </w:r>
      <w:r w:rsidR="00083583">
        <w:t xml:space="preserve"> </w:t>
      </w:r>
    </w:p>
    <w:p w:rsidR="007966B8" w:rsidRDefault="007966B8" w:rsidP="00737E85">
      <w:pPr>
        <w:pStyle w:val="BodyText3"/>
        <w:numPr>
          <w:ilvl w:val="0"/>
          <w:numId w:val="11"/>
        </w:numPr>
      </w:pPr>
      <w:r>
        <w:t>Testing fees</w:t>
      </w:r>
    </w:p>
    <w:p w:rsidR="007966B8" w:rsidRDefault="007966B8" w:rsidP="007966B8">
      <w:pPr>
        <w:pStyle w:val="BodyText3"/>
        <w:numPr>
          <w:ilvl w:val="0"/>
          <w:numId w:val="11"/>
        </w:numPr>
      </w:pPr>
      <w:r>
        <w:t xml:space="preserve">Clothing and other work-related items </w:t>
      </w:r>
    </w:p>
    <w:p w:rsidR="00833B65" w:rsidRDefault="00833B65" w:rsidP="007966B8">
      <w:pPr>
        <w:pStyle w:val="BodyText3"/>
        <w:numPr>
          <w:ilvl w:val="0"/>
          <w:numId w:val="11"/>
        </w:numPr>
      </w:pPr>
      <w:r>
        <w:t>Child and/or dependent care</w:t>
      </w:r>
    </w:p>
    <w:p w:rsidR="00833B65" w:rsidRDefault="00833B65" w:rsidP="007966B8">
      <w:pPr>
        <w:pStyle w:val="BodyText3"/>
        <w:numPr>
          <w:ilvl w:val="0"/>
          <w:numId w:val="11"/>
        </w:numPr>
      </w:pPr>
      <w:r>
        <w:t>Housing</w:t>
      </w:r>
    </w:p>
    <w:p w:rsidR="007966B8" w:rsidRDefault="007966B8" w:rsidP="007966B8">
      <w:pPr>
        <w:pStyle w:val="BodyText3"/>
        <w:numPr>
          <w:ilvl w:val="0"/>
          <w:numId w:val="11"/>
        </w:numPr>
      </w:pPr>
      <w:r>
        <w:t>Other services as deemed appropriate by the One Stop Center Manager</w:t>
      </w:r>
    </w:p>
    <w:p w:rsidR="007F2D55" w:rsidRDefault="007F2D55" w:rsidP="00095413">
      <w:pPr>
        <w:pStyle w:val="BodyText3"/>
        <w:rPr>
          <w:b/>
          <w:u w:val="single"/>
        </w:rPr>
      </w:pPr>
    </w:p>
    <w:p w:rsidR="00095413" w:rsidRDefault="00095413" w:rsidP="00095413">
      <w:pPr>
        <w:pStyle w:val="BodyText3"/>
      </w:pPr>
      <w:r>
        <w:rPr>
          <w:b/>
          <w:u w:val="single"/>
        </w:rPr>
        <w:t>Continued Eligibility</w:t>
      </w:r>
    </w:p>
    <w:p w:rsidR="00095413" w:rsidRDefault="00095413" w:rsidP="00095413">
      <w:pPr>
        <w:pStyle w:val="BodyText3"/>
      </w:pPr>
      <w:r>
        <w:t xml:space="preserve">An individual is not automatically eligible for continued </w:t>
      </w:r>
      <w:r w:rsidR="007F2D55">
        <w:t xml:space="preserve">Supportive Services </w:t>
      </w:r>
      <w:r>
        <w:t>if enrolled in a training program of successive periods (for instance, quarters or semesters).  In order to retain eligibility</w:t>
      </w:r>
      <w:r w:rsidR="007F2D55">
        <w:t xml:space="preserve"> for each training period,</w:t>
      </w:r>
      <w:r>
        <w:t xml:space="preserve"> the individual must adhere to the following:</w:t>
      </w:r>
    </w:p>
    <w:p w:rsidR="00095413" w:rsidRDefault="00095413" w:rsidP="00095413">
      <w:pPr>
        <w:pStyle w:val="BodyText3"/>
      </w:pPr>
    </w:p>
    <w:p w:rsidR="007966B8" w:rsidRDefault="007966B8" w:rsidP="007966B8">
      <w:pPr>
        <w:pStyle w:val="BodyText3"/>
        <w:numPr>
          <w:ilvl w:val="0"/>
          <w:numId w:val="10"/>
        </w:numPr>
      </w:pPr>
      <w:r>
        <w:t>Provide a copy of grades for each quarter/semester.</w:t>
      </w:r>
    </w:p>
    <w:p w:rsidR="007966B8" w:rsidRDefault="007966B8" w:rsidP="007966B8">
      <w:pPr>
        <w:pStyle w:val="BodyText3"/>
        <w:numPr>
          <w:ilvl w:val="0"/>
          <w:numId w:val="10"/>
        </w:numPr>
      </w:pPr>
      <w:r>
        <w:t>Maintain contact with Career Counselor and provide progress updates.</w:t>
      </w:r>
    </w:p>
    <w:p w:rsidR="007966B8" w:rsidRPr="00095413" w:rsidRDefault="007966B8" w:rsidP="007966B8">
      <w:pPr>
        <w:pStyle w:val="BodyText3"/>
        <w:numPr>
          <w:ilvl w:val="0"/>
          <w:numId w:val="10"/>
        </w:numPr>
      </w:pPr>
      <w:r>
        <w:t>Provide changes in contact information or changes in any circumstances that may affect satisfactory progress or completion of the training program.</w:t>
      </w:r>
    </w:p>
    <w:p w:rsidR="00781B93" w:rsidRPr="003F30F7" w:rsidRDefault="00781B93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F30F7" w:rsidRPr="003F30F7" w:rsidRDefault="007F2D55" w:rsidP="003F30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Funding Amount</w:t>
      </w:r>
    </w:p>
    <w:p w:rsidR="001C79E9" w:rsidRPr="00A21E46" w:rsidRDefault="001C79E9" w:rsidP="001C79E9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Supportive Services funding amounts are dependent upon the level of training as outlined below.</w:t>
      </w:r>
    </w:p>
    <w:p w:rsidR="001C79E9" w:rsidRPr="00A21E46" w:rsidRDefault="001C79E9" w:rsidP="001C79E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79E9" w:rsidRDefault="001C79E9" w:rsidP="001C79E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Level I Training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– All training must be able to be completed within 6 months.  On a case-by-case basis evaluation of an individual’s needs, supportive services, including mileage reimbursement, may be available up to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$250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F30F7" w:rsidRDefault="003F30F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C79E9" w:rsidRDefault="001C79E9" w:rsidP="001C79E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Level II Training Programs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All training must be completed within one (1) calendar year. (Exceptions may be granted upon approval by the One Stop Manager.)  </w:t>
      </w:r>
      <w:r w:rsidRPr="005C0410">
        <w:rPr>
          <w:rFonts w:ascii="Times New Roman" w:hAnsi="Times New Roman" w:cs="Times New Roman"/>
          <w:bCs/>
          <w:iCs/>
          <w:sz w:val="24"/>
          <w:szCs w:val="24"/>
        </w:rPr>
        <w:t xml:space="preserve">On a case-by-case basis evaluation of an individual’s needs, supportive services, including mileage reimbursement, may be available up to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$500</w:t>
      </w:r>
      <w:r w:rsidRPr="005C041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79E9" w:rsidRDefault="001C79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C79E9" w:rsidRDefault="001C79E9" w:rsidP="001C79E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Level III Training </w:t>
      </w:r>
      <w:r w:rsidRPr="00A2795A">
        <w:rPr>
          <w:rFonts w:ascii="Times New Roman" w:hAnsi="Times New Roman" w:cs="Times New Roman"/>
          <w:bCs/>
          <w:iCs/>
          <w:sz w:val="24"/>
          <w:szCs w:val="24"/>
        </w:rPr>
        <w:t>– All training must be completed within two (2) calendar years.  (Exceptions may be granted upon approval by the One Stop Manager.)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One a case-by-case basis evaluation of an individual’s needs, supportive services, including mileage reimbursement, may be available up to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$1,500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at a rate of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$750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each year.</w:t>
      </w:r>
    </w:p>
    <w:p w:rsidR="001C79E9" w:rsidRPr="003F30F7" w:rsidRDefault="001C79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81B93" w:rsidRDefault="00781B93">
      <w:pPr>
        <w:pStyle w:val="BodyText3"/>
      </w:pPr>
    </w:p>
    <w:p w:rsidR="00781B93" w:rsidRDefault="00781B93">
      <w:pPr>
        <w:widowControl/>
        <w:ind w:left="792" w:hanging="360"/>
        <w:rPr>
          <w:rFonts w:ascii="Times New Roman" w:hAnsi="Times New Roman" w:cs="Times New Roman"/>
          <w:sz w:val="24"/>
          <w:szCs w:val="22"/>
        </w:rPr>
      </w:pPr>
    </w:p>
    <w:sectPr w:rsidR="00781B93" w:rsidSect="007F5B93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D5" w:rsidRDefault="004B00D5">
      <w:r>
        <w:separator/>
      </w:r>
    </w:p>
  </w:endnote>
  <w:endnote w:type="continuationSeparator" w:id="0">
    <w:p w:rsidR="004B00D5" w:rsidRDefault="004B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93" w:rsidRDefault="007F5B93" w:rsidP="004B00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B93" w:rsidRDefault="007F5B93" w:rsidP="007F5B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93" w:rsidRPr="007F5B93" w:rsidRDefault="007F5B93" w:rsidP="004B00D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7F5B93">
      <w:rPr>
        <w:rStyle w:val="PageNumber"/>
        <w:rFonts w:ascii="Times New Roman" w:hAnsi="Times New Roman" w:cs="Times New Roman"/>
      </w:rPr>
      <w:fldChar w:fldCharType="begin"/>
    </w:r>
    <w:r w:rsidRPr="007F5B93">
      <w:rPr>
        <w:rStyle w:val="PageNumber"/>
        <w:rFonts w:ascii="Times New Roman" w:hAnsi="Times New Roman" w:cs="Times New Roman"/>
      </w:rPr>
      <w:instrText xml:space="preserve">PAGE  </w:instrText>
    </w:r>
    <w:r w:rsidRPr="007F5B93">
      <w:rPr>
        <w:rStyle w:val="PageNumber"/>
        <w:rFonts w:ascii="Times New Roman" w:hAnsi="Times New Roman" w:cs="Times New Roman"/>
      </w:rPr>
      <w:fldChar w:fldCharType="separate"/>
    </w:r>
    <w:r w:rsidR="00892057">
      <w:rPr>
        <w:rStyle w:val="PageNumber"/>
        <w:rFonts w:ascii="Times New Roman" w:hAnsi="Times New Roman" w:cs="Times New Roman"/>
        <w:noProof/>
      </w:rPr>
      <w:t>2</w:t>
    </w:r>
    <w:r w:rsidRPr="007F5B93">
      <w:rPr>
        <w:rStyle w:val="PageNumber"/>
        <w:rFonts w:ascii="Times New Roman" w:hAnsi="Times New Roman" w:cs="Times New Roman"/>
      </w:rPr>
      <w:fldChar w:fldCharType="end"/>
    </w:r>
  </w:p>
  <w:p w:rsidR="007F5B93" w:rsidRPr="007F5B93" w:rsidRDefault="007F5B93" w:rsidP="007F5B93">
    <w:pPr>
      <w:pStyle w:val="Header"/>
      <w:ind w:right="360"/>
      <w:rPr>
        <w:rFonts w:ascii="Times New Roman" w:hAnsi="Times New Roman" w:cs="Times New Roman"/>
        <w:i/>
      </w:rPr>
    </w:pPr>
    <w:r w:rsidRPr="007F5B93">
      <w:rPr>
        <w:rFonts w:ascii="Times New Roman" w:hAnsi="Times New Roman" w:cs="Times New Roman"/>
        <w:i/>
      </w:rPr>
      <w:t>Approved 6-19-09; Amended 2-5-10; 8-6-10</w:t>
    </w:r>
    <w:r w:rsidR="00083583">
      <w:rPr>
        <w:rFonts w:ascii="Times New Roman" w:hAnsi="Times New Roman" w:cs="Times New Roman"/>
        <w:i/>
      </w:rPr>
      <w:t>; 3-</w:t>
    </w:r>
    <w:r w:rsidR="009D1907">
      <w:rPr>
        <w:rFonts w:ascii="Times New Roman" w:hAnsi="Times New Roman" w:cs="Times New Roman"/>
        <w:i/>
      </w:rPr>
      <w:t>27-</w:t>
    </w:r>
    <w:r w:rsidR="00083583">
      <w:rPr>
        <w:rFonts w:ascii="Times New Roman" w:hAnsi="Times New Roman" w:cs="Times New Roman"/>
        <w:i/>
      </w:rPr>
      <w:t>15</w:t>
    </w:r>
    <w:r w:rsidR="0041424E">
      <w:rPr>
        <w:rFonts w:ascii="Times New Roman" w:hAnsi="Times New Roman" w:cs="Times New Roman"/>
        <w:i/>
      </w:rPr>
      <w:t>; 6-15-18</w:t>
    </w:r>
  </w:p>
  <w:p w:rsidR="00A405A7" w:rsidRDefault="00A405A7" w:rsidP="00A405A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83" w:rsidRPr="007F5B93" w:rsidRDefault="00083583" w:rsidP="00083583">
    <w:pPr>
      <w:pStyle w:val="Header"/>
      <w:ind w:right="360"/>
      <w:rPr>
        <w:rFonts w:ascii="Times New Roman" w:hAnsi="Times New Roman" w:cs="Times New Roman"/>
        <w:i/>
      </w:rPr>
    </w:pPr>
    <w:r w:rsidRPr="007F5B93">
      <w:rPr>
        <w:rFonts w:ascii="Times New Roman" w:hAnsi="Times New Roman" w:cs="Times New Roman"/>
        <w:i/>
      </w:rPr>
      <w:t>Approved 6-19-09; Amended 2-5-10; 8-6-10</w:t>
    </w:r>
    <w:r>
      <w:rPr>
        <w:rFonts w:ascii="Times New Roman" w:hAnsi="Times New Roman" w:cs="Times New Roman"/>
        <w:i/>
      </w:rPr>
      <w:t>; 3-</w:t>
    </w:r>
    <w:r w:rsidR="009D1907">
      <w:rPr>
        <w:rFonts w:ascii="Times New Roman" w:hAnsi="Times New Roman" w:cs="Times New Roman"/>
        <w:i/>
      </w:rPr>
      <w:t>27-</w:t>
    </w:r>
    <w:r>
      <w:rPr>
        <w:rFonts w:ascii="Times New Roman" w:hAnsi="Times New Roman" w:cs="Times New Roman"/>
        <w:i/>
      </w:rPr>
      <w:t>15</w:t>
    </w:r>
    <w:r w:rsidR="0041424E">
      <w:rPr>
        <w:rFonts w:ascii="Times New Roman" w:hAnsi="Times New Roman" w:cs="Times New Roman"/>
        <w:i/>
      </w:rPr>
      <w:t>; 6-15-18</w:t>
    </w:r>
  </w:p>
  <w:p w:rsidR="00083583" w:rsidRPr="00083583" w:rsidRDefault="00083583" w:rsidP="0008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D5" w:rsidRDefault="004B00D5">
      <w:r>
        <w:separator/>
      </w:r>
    </w:p>
  </w:footnote>
  <w:footnote w:type="continuationSeparator" w:id="0">
    <w:p w:rsidR="004B00D5" w:rsidRDefault="004B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4E" w:rsidRDefault="0032444E" w:rsidP="00A21E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65"/>
    <w:multiLevelType w:val="hybridMultilevel"/>
    <w:tmpl w:val="99E4636A"/>
    <w:lvl w:ilvl="0" w:tplc="5F9E8AD8">
      <w:start w:val="1"/>
      <w:numFmt w:val="bullet"/>
      <w:lvlText w:val=""/>
      <w:lvlJc w:val="left"/>
      <w:pPr>
        <w:tabs>
          <w:tab w:val="num" w:pos="1282"/>
        </w:tabs>
        <w:ind w:left="1272" w:hanging="3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0986B60"/>
    <w:multiLevelType w:val="hybridMultilevel"/>
    <w:tmpl w:val="15D03826"/>
    <w:lvl w:ilvl="0" w:tplc="5F9E8AD8">
      <w:start w:val="1"/>
      <w:numFmt w:val="bullet"/>
      <w:lvlText w:val=""/>
      <w:lvlJc w:val="left"/>
      <w:pPr>
        <w:tabs>
          <w:tab w:val="num" w:pos="1282"/>
        </w:tabs>
        <w:ind w:left="1272" w:hanging="35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83D3A34"/>
    <w:multiLevelType w:val="hybridMultilevel"/>
    <w:tmpl w:val="28EAF49A"/>
    <w:lvl w:ilvl="0" w:tplc="195644E6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C40446"/>
    <w:multiLevelType w:val="hybridMultilevel"/>
    <w:tmpl w:val="49A49FDA"/>
    <w:lvl w:ilvl="0" w:tplc="5F9E8AD8">
      <w:start w:val="1"/>
      <w:numFmt w:val="bullet"/>
      <w:lvlText w:val=""/>
      <w:lvlJc w:val="left"/>
      <w:pPr>
        <w:tabs>
          <w:tab w:val="num" w:pos="1354"/>
        </w:tabs>
        <w:ind w:left="1344" w:hanging="3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42351F89"/>
    <w:multiLevelType w:val="hybridMultilevel"/>
    <w:tmpl w:val="003C3BA4"/>
    <w:lvl w:ilvl="0" w:tplc="9ACCEC46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51A2F52"/>
    <w:multiLevelType w:val="hybridMultilevel"/>
    <w:tmpl w:val="23E4285A"/>
    <w:lvl w:ilvl="0" w:tplc="5F9E8AD8">
      <w:start w:val="1"/>
      <w:numFmt w:val="bullet"/>
      <w:lvlText w:val=""/>
      <w:lvlJc w:val="left"/>
      <w:pPr>
        <w:tabs>
          <w:tab w:val="num" w:pos="850"/>
        </w:tabs>
        <w:ind w:left="840" w:hanging="3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E51"/>
    <w:multiLevelType w:val="hybridMultilevel"/>
    <w:tmpl w:val="BB9CE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6751"/>
    <w:multiLevelType w:val="hybridMultilevel"/>
    <w:tmpl w:val="C63CA84C"/>
    <w:lvl w:ilvl="0" w:tplc="D88E7616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CB30B7"/>
    <w:multiLevelType w:val="hybridMultilevel"/>
    <w:tmpl w:val="502E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A5F02"/>
    <w:multiLevelType w:val="hybridMultilevel"/>
    <w:tmpl w:val="4D042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D2007"/>
    <w:multiLevelType w:val="hybridMultilevel"/>
    <w:tmpl w:val="DB608D1E"/>
    <w:lvl w:ilvl="0" w:tplc="5F9E8AD8">
      <w:start w:val="1"/>
      <w:numFmt w:val="bullet"/>
      <w:lvlText w:val=""/>
      <w:lvlJc w:val="left"/>
      <w:pPr>
        <w:tabs>
          <w:tab w:val="num" w:pos="850"/>
        </w:tabs>
        <w:ind w:left="840" w:hanging="3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7"/>
    <w:rsid w:val="00021725"/>
    <w:rsid w:val="00075ABD"/>
    <w:rsid w:val="00083583"/>
    <w:rsid w:val="00095413"/>
    <w:rsid w:val="000F0B6C"/>
    <w:rsid w:val="00103C80"/>
    <w:rsid w:val="001C79E9"/>
    <w:rsid w:val="00257040"/>
    <w:rsid w:val="00274B17"/>
    <w:rsid w:val="0032444E"/>
    <w:rsid w:val="003F30F7"/>
    <w:rsid w:val="0041424E"/>
    <w:rsid w:val="004B00D5"/>
    <w:rsid w:val="00526837"/>
    <w:rsid w:val="00551BA5"/>
    <w:rsid w:val="00562AA1"/>
    <w:rsid w:val="005B15D4"/>
    <w:rsid w:val="005C62A8"/>
    <w:rsid w:val="006E74EF"/>
    <w:rsid w:val="007000FD"/>
    <w:rsid w:val="0070712C"/>
    <w:rsid w:val="00781B93"/>
    <w:rsid w:val="007966B8"/>
    <w:rsid w:val="007F2D55"/>
    <w:rsid w:val="007F5B93"/>
    <w:rsid w:val="00833B65"/>
    <w:rsid w:val="00892057"/>
    <w:rsid w:val="0095682D"/>
    <w:rsid w:val="009A3E35"/>
    <w:rsid w:val="009C6945"/>
    <w:rsid w:val="009D1907"/>
    <w:rsid w:val="00A21E46"/>
    <w:rsid w:val="00A405A7"/>
    <w:rsid w:val="00A76D21"/>
    <w:rsid w:val="00A96F85"/>
    <w:rsid w:val="00B17615"/>
    <w:rsid w:val="00C16DA5"/>
    <w:rsid w:val="00C43932"/>
    <w:rsid w:val="00C5009A"/>
    <w:rsid w:val="00C60917"/>
    <w:rsid w:val="00E97A69"/>
    <w:rsid w:val="00F602FE"/>
    <w:rsid w:val="00FD6881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98A765B-5661-4FD9-B6E1-E2D8901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widowControl/>
      <w:spacing w:before="24" w:line="259" w:lineRule="exact"/>
      <w:jc w:val="center"/>
      <w:outlineLvl w:val="0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before="552" w:line="283" w:lineRule="exact"/>
    </w:pPr>
    <w:rPr>
      <w:rFonts w:ascii="Times New Roman" w:hAnsi="Times New Roman" w:cs="Times New Roman"/>
      <w:sz w:val="24"/>
      <w:szCs w:val="22"/>
    </w:rPr>
  </w:style>
  <w:style w:type="paragraph" w:styleId="BodyTextIndent">
    <w:name w:val="Body Text Indent"/>
    <w:basedOn w:val="Normal"/>
    <w:pPr>
      <w:widowControl/>
      <w:spacing w:before="297" w:line="273" w:lineRule="exact"/>
      <w:ind w:left="792" w:hanging="360"/>
    </w:pPr>
    <w:rPr>
      <w:rFonts w:ascii="Times New Roman" w:hAnsi="Times New Roman" w:cs="Times New Roman"/>
      <w:sz w:val="24"/>
      <w:szCs w:val="22"/>
    </w:rPr>
  </w:style>
  <w:style w:type="paragraph" w:styleId="BodyText2">
    <w:name w:val="Body Text 2"/>
    <w:basedOn w:val="Normal"/>
    <w:rPr>
      <w:rFonts w:ascii="Times New Roman" w:hAnsi="Times New Roman" w:cs="Times New Roman"/>
      <w:b/>
      <w:bCs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widowControl/>
      <w:ind w:left="72"/>
    </w:pPr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 w:hanging="1440"/>
      <w:jc w:val="both"/>
    </w:pPr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A21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Investment Board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</dc:creator>
  <cp:keywords/>
  <dc:description/>
  <cp:lastModifiedBy>Jason Miller</cp:lastModifiedBy>
  <cp:revision>5</cp:revision>
  <cp:lastPrinted>2015-11-02T18:28:00Z</cp:lastPrinted>
  <dcterms:created xsi:type="dcterms:W3CDTF">2018-05-02T14:28:00Z</dcterms:created>
  <dcterms:modified xsi:type="dcterms:W3CDTF">2018-06-25T18:35:00Z</dcterms:modified>
</cp:coreProperties>
</file>